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城市更新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行动绩效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指标体系</w:t>
      </w:r>
    </w:p>
    <w:tbl>
      <w:tblPr>
        <w:tblStyle w:val="7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71"/>
        <w:gridCol w:w="1785"/>
        <w:gridCol w:w="4047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三级指标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产出绩效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城市地</w:t>
            </w:r>
            <w:bookmarkStart w:id="0" w:name="_GoBack"/>
            <w:bookmarkEnd w:id="0"/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下管网更新改造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任务量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城市供水管网改造任务量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居民小区二次供水（加压调蓄）专业化运营管理数量（按小区服务户数计）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城市地下管网“一张图”覆盖范围（按平方公里）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城市燃气、供热、地下综合管廊等地下管网改造任务量（根据实际建设内容分别注明，按公里计）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城市污水管网全覆盖样板区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生活污水处理厂年平均</w:t>
            </w:r>
            <w:r>
              <w:rPr>
                <w:rFonts w:hint="eastAsia" w:ascii="仿宋" w:hAnsi="仿宋" w:cs="仿宋"/>
                <w:kern w:val="0"/>
                <w:sz w:val="24"/>
              </w:rPr>
              <w:t>进水BOD浓度高于100</w:t>
            </w:r>
            <w:r>
              <w:rPr>
                <w:rFonts w:ascii="仿宋" w:hAnsi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仿宋" w:hAnsi="仿宋" w:cs="仿宋"/>
                <w:kern w:val="0"/>
                <w:sz w:val="24"/>
              </w:rPr>
              <w:t>比2</w:t>
            </w:r>
            <w:r>
              <w:rPr>
                <w:rFonts w:ascii="仿宋" w:hAnsi="仿宋" w:cs="仿宋"/>
                <w:kern w:val="0"/>
                <w:sz w:val="24"/>
              </w:rPr>
              <w:t>02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cs="仿宋"/>
                <w:kern w:val="0"/>
                <w:sz w:val="24"/>
              </w:rPr>
              <w:t>年提升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不低于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10个</w:t>
            </w:r>
            <w:r>
              <w:rPr>
                <w:rFonts w:hint="eastAsia" w:ascii="仿宋" w:hAnsi="仿宋" w:cs="仿宋"/>
                <w:kern w:val="0"/>
                <w:sz w:val="24"/>
              </w:rPr>
              <w:t>百分点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实行污水“厂网一体”运维的排水分区（按平方公里计）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污水全覆盖样板区面积（按平方公里计）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城市生活污水集中收集率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（不低于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80%或</w:t>
            </w:r>
            <w:r>
              <w:rPr>
                <w:rFonts w:hint="eastAsia" w:ascii="仿宋" w:hAnsi="仿宋" w:cs="仿宋"/>
                <w:kern w:val="0"/>
                <w:sz w:val="24"/>
              </w:rPr>
              <w:t>比202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cs="仿宋"/>
                <w:kern w:val="0"/>
                <w:sz w:val="24"/>
              </w:rPr>
              <w:t>年提升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5个百分点）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历史文化街区活化利用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完成历史建筑、传统风貌建筑保护修缮和活化利用数量（以建筑数量或街区面积计）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市政基础设施补短板及老旧片区改造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城市内涝防治标准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（毫米</w:t>
            </w:r>
            <w:r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小时，或分片区描述重现期标准）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拟盘活的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存量低效用地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面积（公顷）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改造老旧片区数量（以改造面积计算）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补齐“一老一小”等基础设施，改造建设完整社区的数量（以社区数量或改造面积计）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完成的海绵城市建设项目数量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管理绩效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项目储备和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生成机制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城市体检及问题发现机制，列出拟建立机制的关键内容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城市更新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项目谋划机制，列出拟建立机制的关键内容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房屋全生命周期安全管理机制，列出关键内容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项目识别及储备机制，列出关键内容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建设成效后评估机制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、绩效评价与激励机制等，列出关键内容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资金安排和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筹措机制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多渠道资金统筹的投融资机制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优化金融机构信贷支持模式，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吸引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社会资本进入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的政策机制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市政公用服务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合理的成本分担机制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，包括生活污水处理费、供水价格动态调整机制等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以生活污水管网运行维护效能为核心的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“厂网一体”运行维护机制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居民小区二次供水设施专业化服务机制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以污水收集效能为导向的按效付费机制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地下管网“一张图”设施动态更新机制和长效运行机制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用地保障和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审批</w:t>
            </w:r>
            <w:r>
              <w:rPr>
                <w:rFonts w:hint="eastAsia" w:ascii="仿宋" w:hAnsi="仿宋" w:cs="仿宋"/>
                <w:kern w:val="0"/>
                <w:sz w:val="24"/>
              </w:rPr>
              <w:t>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盘活利用存量低效用地的用地、规划制度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改造类项目的城市更新项目审批制度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城市更新有关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地方性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法规制度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建设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城市更新有关地方性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技术标准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制定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其他长效机制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建立以居民为主体的历史文化街区长效保护更新改造制度，围绕历史文化街区维护修缮、改造利用、公众参与、资金奖补等方面形成的机制政策等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资金绩效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资金下达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及时性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中央奖补资金及时下达到项目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比例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资金的协同性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地方按方案筹集资金，充分带动社会资金参与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资金使用的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有效性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中央资金合规使用，有力支撑项目建设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效益绩效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经济效益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城市更新三年行动计划投资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生态效益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城市人居环境改善情况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6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满意度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公众对城市更新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" w:hAnsi="仿宋" w:cs="仿宋"/>
                <w:kern w:val="0"/>
                <w:sz w:val="24"/>
              </w:rPr>
              <w:t>的满意度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（不低于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90%)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</w:tbl>
    <w:p>
      <w:pPr>
        <w:spacing w:line="480" w:lineRule="exact"/>
        <w:ind w:left="705" w:leftChars="174" w:hanging="156" w:hangingChars="205"/>
        <w:rPr>
          <w:sz w:val="8"/>
          <w:szCs w:val="4"/>
        </w:rPr>
      </w:pPr>
    </w:p>
    <w:sectPr>
      <w:footerReference r:id="rId5" w:type="default"/>
      <w:pgSz w:w="11906" w:h="16838"/>
      <w:pgMar w:top="2154" w:right="1474" w:bottom="1587" w:left="1587" w:header="851" w:footer="850" w:gutter="0"/>
      <w:pgNumType w:fmt="decimal" w:start="13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8AE0"/>
    <w:rsid w:val="00167618"/>
    <w:rsid w:val="0017064F"/>
    <w:rsid w:val="003045AB"/>
    <w:rsid w:val="003C4BFF"/>
    <w:rsid w:val="004B6C74"/>
    <w:rsid w:val="005C5B8E"/>
    <w:rsid w:val="00B22D54"/>
    <w:rsid w:val="00C46D60"/>
    <w:rsid w:val="0757B3BD"/>
    <w:rsid w:val="07BB4C7B"/>
    <w:rsid w:val="0BBC3ADE"/>
    <w:rsid w:val="0D7F8D8E"/>
    <w:rsid w:val="0FBC8C63"/>
    <w:rsid w:val="16B9B501"/>
    <w:rsid w:val="1B9F08A2"/>
    <w:rsid w:val="1EF61F7C"/>
    <w:rsid w:val="1F5F78F1"/>
    <w:rsid w:val="1F7FD4DB"/>
    <w:rsid w:val="1FEFD6BC"/>
    <w:rsid w:val="2175A614"/>
    <w:rsid w:val="2BDF258E"/>
    <w:rsid w:val="2E77AE72"/>
    <w:rsid w:val="2F0E53B6"/>
    <w:rsid w:val="2F277B42"/>
    <w:rsid w:val="2F4D412B"/>
    <w:rsid w:val="2F9F7D2A"/>
    <w:rsid w:val="2FAA4394"/>
    <w:rsid w:val="2FBC8620"/>
    <w:rsid w:val="2FCCF791"/>
    <w:rsid w:val="2FFA59DB"/>
    <w:rsid w:val="2FFB7DB3"/>
    <w:rsid w:val="31FF4BF1"/>
    <w:rsid w:val="36F33640"/>
    <w:rsid w:val="377B74A9"/>
    <w:rsid w:val="37CF8D3A"/>
    <w:rsid w:val="37ED08C2"/>
    <w:rsid w:val="3ACB947A"/>
    <w:rsid w:val="3B2F0081"/>
    <w:rsid w:val="3BEF401C"/>
    <w:rsid w:val="3BFD716A"/>
    <w:rsid w:val="3CDF2D23"/>
    <w:rsid w:val="3DDB9D3A"/>
    <w:rsid w:val="3E76A15E"/>
    <w:rsid w:val="3ECFF520"/>
    <w:rsid w:val="3F4F2808"/>
    <w:rsid w:val="3FA5A0B6"/>
    <w:rsid w:val="3FBE4494"/>
    <w:rsid w:val="3FE3F0FE"/>
    <w:rsid w:val="3FF7B880"/>
    <w:rsid w:val="3FFD750E"/>
    <w:rsid w:val="3FFF7DB8"/>
    <w:rsid w:val="45DD3B16"/>
    <w:rsid w:val="473EEB98"/>
    <w:rsid w:val="47F5A957"/>
    <w:rsid w:val="4AF90F22"/>
    <w:rsid w:val="4DBE6010"/>
    <w:rsid w:val="4E5A9835"/>
    <w:rsid w:val="4F5FAE4E"/>
    <w:rsid w:val="4FDF5140"/>
    <w:rsid w:val="4FF357B6"/>
    <w:rsid w:val="4FF79029"/>
    <w:rsid w:val="4FFF38FB"/>
    <w:rsid w:val="536D2310"/>
    <w:rsid w:val="53DF44DB"/>
    <w:rsid w:val="56BAEDFE"/>
    <w:rsid w:val="57751EDA"/>
    <w:rsid w:val="57DF0FB6"/>
    <w:rsid w:val="59DDC416"/>
    <w:rsid w:val="5A7F38AA"/>
    <w:rsid w:val="5AFF35E3"/>
    <w:rsid w:val="5B7F4C15"/>
    <w:rsid w:val="5BFAF83D"/>
    <w:rsid w:val="5CFF942A"/>
    <w:rsid w:val="5DDD68DD"/>
    <w:rsid w:val="5EE78122"/>
    <w:rsid w:val="5F1FB11D"/>
    <w:rsid w:val="5F3F0848"/>
    <w:rsid w:val="5F7A1541"/>
    <w:rsid w:val="5FB736BF"/>
    <w:rsid w:val="5FBBC698"/>
    <w:rsid w:val="5FED7563"/>
    <w:rsid w:val="5FEF3734"/>
    <w:rsid w:val="65EFA362"/>
    <w:rsid w:val="67ABAEC4"/>
    <w:rsid w:val="697F5E3D"/>
    <w:rsid w:val="6AB639A9"/>
    <w:rsid w:val="6ADFBCF9"/>
    <w:rsid w:val="6B6B80BA"/>
    <w:rsid w:val="6B7B8D06"/>
    <w:rsid w:val="6BFEAD3B"/>
    <w:rsid w:val="6C7DE282"/>
    <w:rsid w:val="6C7F8218"/>
    <w:rsid w:val="6CFFA59A"/>
    <w:rsid w:val="6D7F6F61"/>
    <w:rsid w:val="6DBF11C7"/>
    <w:rsid w:val="6DDE07C9"/>
    <w:rsid w:val="6EEF7C0D"/>
    <w:rsid w:val="6EEF91F2"/>
    <w:rsid w:val="6FB35FB4"/>
    <w:rsid w:val="6FB6A9AC"/>
    <w:rsid w:val="6FDFE7CB"/>
    <w:rsid w:val="6FF9F579"/>
    <w:rsid w:val="6FFDB429"/>
    <w:rsid w:val="71EB791B"/>
    <w:rsid w:val="73890023"/>
    <w:rsid w:val="73BAD1FF"/>
    <w:rsid w:val="73FF8AE0"/>
    <w:rsid w:val="75FF3D37"/>
    <w:rsid w:val="7687661E"/>
    <w:rsid w:val="76B9BA1B"/>
    <w:rsid w:val="76DF1728"/>
    <w:rsid w:val="76FF2558"/>
    <w:rsid w:val="772DA665"/>
    <w:rsid w:val="777BA64F"/>
    <w:rsid w:val="778FEC03"/>
    <w:rsid w:val="77E3908F"/>
    <w:rsid w:val="77EB8DAA"/>
    <w:rsid w:val="77EE37BB"/>
    <w:rsid w:val="77EEBBB4"/>
    <w:rsid w:val="77F5048D"/>
    <w:rsid w:val="77FBD96F"/>
    <w:rsid w:val="77FF2C1D"/>
    <w:rsid w:val="77FF2E7C"/>
    <w:rsid w:val="77FF7B82"/>
    <w:rsid w:val="79FFCB9E"/>
    <w:rsid w:val="7A95A35D"/>
    <w:rsid w:val="7ACD1F5D"/>
    <w:rsid w:val="7ADC6FF3"/>
    <w:rsid w:val="7B972077"/>
    <w:rsid w:val="7BF3121C"/>
    <w:rsid w:val="7CB7C46A"/>
    <w:rsid w:val="7CBED257"/>
    <w:rsid w:val="7CFF1690"/>
    <w:rsid w:val="7CFF43B3"/>
    <w:rsid w:val="7D2E4D19"/>
    <w:rsid w:val="7D6F19FD"/>
    <w:rsid w:val="7D6FC9A3"/>
    <w:rsid w:val="7D7484DA"/>
    <w:rsid w:val="7DB7D6BC"/>
    <w:rsid w:val="7DFB4AA9"/>
    <w:rsid w:val="7DFE346B"/>
    <w:rsid w:val="7DFEC16B"/>
    <w:rsid w:val="7DFEC945"/>
    <w:rsid w:val="7DFF875C"/>
    <w:rsid w:val="7E4E0154"/>
    <w:rsid w:val="7E9DA65F"/>
    <w:rsid w:val="7EAACB98"/>
    <w:rsid w:val="7EDD325A"/>
    <w:rsid w:val="7EFD6C5C"/>
    <w:rsid w:val="7EFE4AED"/>
    <w:rsid w:val="7F3F069C"/>
    <w:rsid w:val="7F4A3941"/>
    <w:rsid w:val="7F6D1E82"/>
    <w:rsid w:val="7F7B2C87"/>
    <w:rsid w:val="7F7F3001"/>
    <w:rsid w:val="7F7FF880"/>
    <w:rsid w:val="7FB1E8DD"/>
    <w:rsid w:val="7FB73D4D"/>
    <w:rsid w:val="7FBDB229"/>
    <w:rsid w:val="7FBE2A9B"/>
    <w:rsid w:val="7FC5AFDC"/>
    <w:rsid w:val="7FCF6BDC"/>
    <w:rsid w:val="7FDA3FBD"/>
    <w:rsid w:val="7FE4A8E8"/>
    <w:rsid w:val="7FEAAFD4"/>
    <w:rsid w:val="7FEACBBB"/>
    <w:rsid w:val="7FEF3BC8"/>
    <w:rsid w:val="7FF7565F"/>
    <w:rsid w:val="7FF78AB8"/>
    <w:rsid w:val="7FFBA3CB"/>
    <w:rsid w:val="7FFBEC50"/>
    <w:rsid w:val="7FFFDC42"/>
    <w:rsid w:val="8D7ED064"/>
    <w:rsid w:val="8FB71013"/>
    <w:rsid w:val="8FF6CE23"/>
    <w:rsid w:val="8FFF2F73"/>
    <w:rsid w:val="966581AE"/>
    <w:rsid w:val="96D3CB12"/>
    <w:rsid w:val="97FFD561"/>
    <w:rsid w:val="9BFFA190"/>
    <w:rsid w:val="9F66DC04"/>
    <w:rsid w:val="9F7EEB6F"/>
    <w:rsid w:val="9F7FB44A"/>
    <w:rsid w:val="9FA3F935"/>
    <w:rsid w:val="9FDF4485"/>
    <w:rsid w:val="A3FE27F5"/>
    <w:rsid w:val="A5F7D6AA"/>
    <w:rsid w:val="A97E607B"/>
    <w:rsid w:val="AB7FC2F7"/>
    <w:rsid w:val="AB9652A5"/>
    <w:rsid w:val="AEF7AFEA"/>
    <w:rsid w:val="AF3F3014"/>
    <w:rsid w:val="AFDB4064"/>
    <w:rsid w:val="AFFDC403"/>
    <w:rsid w:val="B34CA7E6"/>
    <w:rsid w:val="B797D76D"/>
    <w:rsid w:val="B7BF4F9A"/>
    <w:rsid w:val="B9FE7B29"/>
    <w:rsid w:val="BB4C9905"/>
    <w:rsid w:val="BB7D8A2A"/>
    <w:rsid w:val="BBC50122"/>
    <w:rsid w:val="BBDF33E0"/>
    <w:rsid w:val="BBF76DE1"/>
    <w:rsid w:val="BBFEF98D"/>
    <w:rsid w:val="BD3DCEEB"/>
    <w:rsid w:val="BD7F2D66"/>
    <w:rsid w:val="BDDDFF57"/>
    <w:rsid w:val="BF729965"/>
    <w:rsid w:val="BF7E80FE"/>
    <w:rsid w:val="BF9F3404"/>
    <w:rsid w:val="BFAE3154"/>
    <w:rsid w:val="BFAE688D"/>
    <w:rsid w:val="BFB63B5C"/>
    <w:rsid w:val="BFBD546B"/>
    <w:rsid w:val="BFBE9345"/>
    <w:rsid w:val="BFD7E1B0"/>
    <w:rsid w:val="BFDB24F7"/>
    <w:rsid w:val="BFDC1490"/>
    <w:rsid w:val="BFEB3817"/>
    <w:rsid w:val="BFFD5C4E"/>
    <w:rsid w:val="C36D673D"/>
    <w:rsid w:val="C496F1E1"/>
    <w:rsid w:val="C7D3C395"/>
    <w:rsid w:val="CEB91277"/>
    <w:rsid w:val="CFFA9D12"/>
    <w:rsid w:val="CFFEFF75"/>
    <w:rsid w:val="CFFFAEF5"/>
    <w:rsid w:val="D2F3BB1B"/>
    <w:rsid w:val="D3FFD2D5"/>
    <w:rsid w:val="D67CD733"/>
    <w:rsid w:val="D6FF488D"/>
    <w:rsid w:val="D7F7D6A0"/>
    <w:rsid w:val="D7FF3DB6"/>
    <w:rsid w:val="D9BF4F4D"/>
    <w:rsid w:val="DA6B8C19"/>
    <w:rsid w:val="DAF3847E"/>
    <w:rsid w:val="DB36BFC7"/>
    <w:rsid w:val="DB5F37E4"/>
    <w:rsid w:val="DB9D7B1A"/>
    <w:rsid w:val="DBB77E95"/>
    <w:rsid w:val="DBBF6EDC"/>
    <w:rsid w:val="DBEE5154"/>
    <w:rsid w:val="DBFF1EA6"/>
    <w:rsid w:val="DDCF1DD4"/>
    <w:rsid w:val="DDEF11F2"/>
    <w:rsid w:val="DFD7B687"/>
    <w:rsid w:val="DFDDE85A"/>
    <w:rsid w:val="DFFB6A07"/>
    <w:rsid w:val="DFFFCD33"/>
    <w:rsid w:val="E35E6879"/>
    <w:rsid w:val="E4C72837"/>
    <w:rsid w:val="E5BB0526"/>
    <w:rsid w:val="E77AD6AC"/>
    <w:rsid w:val="E8749B31"/>
    <w:rsid w:val="E94FCBA9"/>
    <w:rsid w:val="EA77BF6F"/>
    <w:rsid w:val="EAE9B155"/>
    <w:rsid w:val="EAF2A3DB"/>
    <w:rsid w:val="EAFF00FC"/>
    <w:rsid w:val="EAFF3868"/>
    <w:rsid w:val="EAFFB3D7"/>
    <w:rsid w:val="EB6B3C00"/>
    <w:rsid w:val="EBFB7B9B"/>
    <w:rsid w:val="EDDFFE92"/>
    <w:rsid w:val="EEF5363A"/>
    <w:rsid w:val="EEF95BE4"/>
    <w:rsid w:val="EF3FC85B"/>
    <w:rsid w:val="EF538248"/>
    <w:rsid w:val="EF8776A5"/>
    <w:rsid w:val="EFC58683"/>
    <w:rsid w:val="EFD94935"/>
    <w:rsid w:val="EFDD5859"/>
    <w:rsid w:val="EFEF66FE"/>
    <w:rsid w:val="EFF53FBF"/>
    <w:rsid w:val="EFFF32E0"/>
    <w:rsid w:val="F256E805"/>
    <w:rsid w:val="F2DFB3F7"/>
    <w:rsid w:val="F3911AE8"/>
    <w:rsid w:val="F3B8A678"/>
    <w:rsid w:val="F4F721ED"/>
    <w:rsid w:val="F57F3203"/>
    <w:rsid w:val="F5B712DD"/>
    <w:rsid w:val="F5EF0B4D"/>
    <w:rsid w:val="F5EF8D72"/>
    <w:rsid w:val="F6DF4974"/>
    <w:rsid w:val="F6F6A79F"/>
    <w:rsid w:val="F7C3CC92"/>
    <w:rsid w:val="F7D5D749"/>
    <w:rsid w:val="F7DFA74B"/>
    <w:rsid w:val="F7E619D7"/>
    <w:rsid w:val="F7F65B06"/>
    <w:rsid w:val="F7FFB2FC"/>
    <w:rsid w:val="F817F963"/>
    <w:rsid w:val="F9DDB5CF"/>
    <w:rsid w:val="F9DE76F0"/>
    <w:rsid w:val="FA7F2004"/>
    <w:rsid w:val="FBBB90F4"/>
    <w:rsid w:val="FBBF6DAD"/>
    <w:rsid w:val="FBFC5A0E"/>
    <w:rsid w:val="FC9EED49"/>
    <w:rsid w:val="FCB65C0D"/>
    <w:rsid w:val="FCFE124A"/>
    <w:rsid w:val="FCFE7964"/>
    <w:rsid w:val="FD6CB642"/>
    <w:rsid w:val="FD772169"/>
    <w:rsid w:val="FD8A96C3"/>
    <w:rsid w:val="FD97B2C4"/>
    <w:rsid w:val="FDCA6DE9"/>
    <w:rsid w:val="FDDEBB88"/>
    <w:rsid w:val="FDE9DEF8"/>
    <w:rsid w:val="FDFA05E9"/>
    <w:rsid w:val="FDFD7D36"/>
    <w:rsid w:val="FDFD9847"/>
    <w:rsid w:val="FDFE54C7"/>
    <w:rsid w:val="FEBDB511"/>
    <w:rsid w:val="FEE346A3"/>
    <w:rsid w:val="FEEBE888"/>
    <w:rsid w:val="FEEC870D"/>
    <w:rsid w:val="FEEE5EE1"/>
    <w:rsid w:val="FEF3B1F7"/>
    <w:rsid w:val="FEF713E0"/>
    <w:rsid w:val="FEFD001B"/>
    <w:rsid w:val="FEFEA839"/>
    <w:rsid w:val="FEFF533F"/>
    <w:rsid w:val="FF3B57D5"/>
    <w:rsid w:val="FF3FD4D9"/>
    <w:rsid w:val="FF4D5CB6"/>
    <w:rsid w:val="FF57DBFD"/>
    <w:rsid w:val="FF5FF048"/>
    <w:rsid w:val="FF77783C"/>
    <w:rsid w:val="FF7D67D5"/>
    <w:rsid w:val="FF7F7325"/>
    <w:rsid w:val="FF7FB344"/>
    <w:rsid w:val="FFB96A80"/>
    <w:rsid w:val="FFBB5A04"/>
    <w:rsid w:val="FFBB6D87"/>
    <w:rsid w:val="FFBDF29D"/>
    <w:rsid w:val="FFBFD11E"/>
    <w:rsid w:val="FFD4FEB0"/>
    <w:rsid w:val="FFE7E334"/>
    <w:rsid w:val="FFEB709E"/>
    <w:rsid w:val="FFEE4E98"/>
    <w:rsid w:val="FFF1FE30"/>
    <w:rsid w:val="FFF7DA9F"/>
    <w:rsid w:val="FFF93E6C"/>
    <w:rsid w:val="FFFB85AF"/>
    <w:rsid w:val="FFFBB5DE"/>
    <w:rsid w:val="FFFCE4FA"/>
    <w:rsid w:val="FFFD8D9F"/>
    <w:rsid w:val="FFFDA27E"/>
    <w:rsid w:val="FFFF7F32"/>
    <w:rsid w:val="FFFF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customStyle="1" w:styleId="11">
    <w:name w:val="批注文字 字符"/>
    <w:basedOn w:val="8"/>
    <w:link w:val="3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eastAsia="仿宋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941</Characters>
  <Lines>7</Lines>
  <Paragraphs>2</Paragraphs>
  <TotalTime>12</TotalTime>
  <ScaleCrop>false</ScaleCrop>
  <LinksUpToDate>false</LinksUpToDate>
  <CharactersWithSpaces>1103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2023-09-18T14:22:00Z</dcterms:created>
  <dc:creator>chenwei</dc:creator>
  <cp:lastModifiedBy>chenwei</cp:lastModifiedBy>
  <cp:lastPrinted>2025-04-02T17:39:07Z</cp:lastPrinted>
  <dcterms:modified xsi:type="dcterms:W3CDTF">2025-04-02T17:52:57Z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00E0B43D18837748076CEA67489016E8</vt:lpwstr>
  </property>
</Properties>
</file>